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bCs/>
          <w:color w:val="000000"/>
          <w:sz w:val="44"/>
          <w:szCs w:val="44"/>
        </w:rPr>
      </w:pPr>
    </w:p>
    <w:p>
      <w:pPr>
        <w:jc w:val="center"/>
        <w:rPr>
          <w:rFonts w:ascii="宋体" w:hAnsi="宋体" w:cs="宋体"/>
          <w:b/>
          <w:bCs/>
          <w:color w:val="000000"/>
          <w:sz w:val="44"/>
          <w:szCs w:val="44"/>
        </w:rPr>
      </w:pPr>
      <w:r>
        <w:rPr>
          <w:rFonts w:hint="eastAsia" w:ascii="宋体" w:hAnsi="宋体" w:cs="宋体"/>
          <w:b/>
          <w:bCs/>
          <w:color w:val="000000"/>
          <w:sz w:val="44"/>
          <w:szCs w:val="44"/>
        </w:rPr>
        <w:t>中储粮集团公司入围供应商网上操作说明</w:t>
      </w:r>
    </w:p>
    <w:p>
      <w:pPr>
        <w:jc w:val="center"/>
        <w:rPr>
          <w:rFonts w:ascii="宋体" w:hAnsi="宋体" w:cs="宋体"/>
          <w:b/>
          <w:bCs/>
          <w:color w:val="000000"/>
          <w:sz w:val="44"/>
          <w:szCs w:val="44"/>
        </w:rPr>
      </w:pPr>
    </w:p>
    <w:p>
      <w:pPr>
        <w:keepNext w:val="0"/>
        <w:keepLines w:val="0"/>
        <w:pageBreakBefore w:val="0"/>
        <w:widowControl w:val="0"/>
        <w:kinsoku/>
        <w:wordWrap/>
        <w:overflowPunct/>
        <w:topLinePunct w:val="0"/>
        <w:autoSpaceDE/>
        <w:autoSpaceDN/>
        <w:bidi w:val="0"/>
        <w:adjustRightInd/>
        <w:snapToGrid/>
        <w:spacing w:before="157" w:beforeLines="50" w:line="540" w:lineRule="exact"/>
        <w:ind w:firstLine="560" w:firstLineChars="200"/>
        <w:jc w:val="left"/>
        <w:textAlignment w:val="auto"/>
        <w:rPr>
          <w:rFonts w:hint="eastAsia" w:ascii="黑体" w:hAnsi="黑体" w:eastAsia="黑体" w:cs="黑体"/>
          <w:color w:val="000000"/>
          <w:sz w:val="28"/>
          <w:szCs w:val="28"/>
        </w:rPr>
      </w:pPr>
      <w:r>
        <w:rPr>
          <w:rFonts w:hint="eastAsia" w:ascii="黑体" w:hAnsi="黑体" w:eastAsia="黑体" w:cs="黑体"/>
          <w:color w:val="000000"/>
          <w:sz w:val="28"/>
          <w:szCs w:val="28"/>
          <w:lang w:val="en-US" w:eastAsia="zh-CN"/>
        </w:rPr>
        <w:t>一、</w:t>
      </w:r>
      <w:r>
        <w:rPr>
          <w:rFonts w:hint="eastAsia" w:ascii="黑体" w:hAnsi="黑体" w:eastAsia="黑体" w:cs="黑体"/>
          <w:color w:val="000000"/>
          <w:sz w:val="28"/>
          <w:szCs w:val="28"/>
        </w:rPr>
        <w:t>名词解析</w:t>
      </w:r>
    </w:p>
    <w:p>
      <w:pPr>
        <w:keepNext w:val="0"/>
        <w:keepLines w:val="0"/>
        <w:pageBreakBefore w:val="0"/>
        <w:widowControl w:val="0"/>
        <w:kinsoku/>
        <w:wordWrap/>
        <w:overflowPunct/>
        <w:topLinePunct w:val="0"/>
        <w:autoSpaceDE/>
        <w:autoSpaceDN/>
        <w:bidi w:val="0"/>
        <w:adjustRightInd/>
        <w:snapToGrid/>
        <w:spacing w:before="157" w:beforeLines="50" w:line="500" w:lineRule="exact"/>
        <w:ind w:firstLine="482" w:firstLineChars="200"/>
        <w:textAlignment w:val="auto"/>
        <w:rPr>
          <w:rFonts w:hint="eastAsia" w:ascii="宋体" w:hAnsi="宋体" w:cs="仿宋"/>
          <w:color w:val="000000"/>
          <w:sz w:val="24"/>
          <w:szCs w:val="24"/>
        </w:rPr>
      </w:pPr>
      <w:r>
        <w:rPr>
          <w:rFonts w:hint="eastAsia" w:ascii="宋体" w:hAnsi="宋体" w:cs="仿宋"/>
          <w:b/>
          <w:bCs/>
          <w:color w:val="000000"/>
          <w:sz w:val="24"/>
          <w:szCs w:val="24"/>
        </w:rPr>
        <w:t>入围采购：</w:t>
      </w:r>
      <w:r>
        <w:rPr>
          <w:rFonts w:hint="eastAsia" w:ascii="宋体" w:hAnsi="宋体" w:cs="仿宋"/>
          <w:color w:val="000000"/>
          <w:sz w:val="24"/>
          <w:szCs w:val="24"/>
        </w:rPr>
        <w:t>入围采购是指通过公开招标的方式确定合格供应商（又称入围供应商），一般入围有效期为两年。</w:t>
      </w:r>
    </w:p>
    <w:p>
      <w:pPr>
        <w:keepNext w:val="0"/>
        <w:keepLines w:val="0"/>
        <w:pageBreakBefore w:val="0"/>
        <w:widowControl w:val="0"/>
        <w:kinsoku/>
        <w:wordWrap/>
        <w:overflowPunct/>
        <w:topLinePunct w:val="0"/>
        <w:autoSpaceDE/>
        <w:autoSpaceDN/>
        <w:bidi w:val="0"/>
        <w:adjustRightInd/>
        <w:snapToGrid/>
        <w:spacing w:before="157" w:beforeLines="50" w:line="500" w:lineRule="exact"/>
        <w:ind w:firstLine="482" w:firstLineChars="200"/>
        <w:textAlignment w:val="auto"/>
        <w:rPr>
          <w:rFonts w:hint="eastAsia" w:ascii="宋体" w:hAnsi="宋体" w:cs="仿宋"/>
          <w:color w:val="000000"/>
          <w:sz w:val="24"/>
          <w:szCs w:val="24"/>
        </w:rPr>
      </w:pPr>
      <w:r>
        <w:rPr>
          <w:rFonts w:hint="eastAsia" w:ascii="宋体" w:hAnsi="宋体" w:cs="仿宋"/>
          <w:b/>
          <w:bCs/>
          <w:color w:val="000000"/>
          <w:sz w:val="24"/>
          <w:szCs w:val="24"/>
        </w:rPr>
        <w:t>协议供货：</w:t>
      </w:r>
      <w:r>
        <w:rPr>
          <w:rFonts w:hint="eastAsia" w:ascii="宋体" w:hAnsi="宋体" w:cs="仿宋"/>
          <w:color w:val="000000"/>
          <w:sz w:val="24"/>
          <w:szCs w:val="24"/>
        </w:rPr>
        <w:t>协议供货是指在入围有效期内，采购单位直接与入围供应商签订协议产品供货合同的一种采购模式。协议供货主要用于办公用品和汽车采购；对于粮油设施设备类物资已经进行供应商分级管理的项目，只有A级供应商可以协议供货。</w:t>
      </w:r>
    </w:p>
    <w:p>
      <w:pPr>
        <w:keepNext w:val="0"/>
        <w:keepLines w:val="0"/>
        <w:pageBreakBefore w:val="0"/>
        <w:widowControl w:val="0"/>
        <w:kinsoku/>
        <w:wordWrap/>
        <w:overflowPunct/>
        <w:topLinePunct w:val="0"/>
        <w:autoSpaceDE/>
        <w:autoSpaceDN/>
        <w:bidi w:val="0"/>
        <w:adjustRightInd/>
        <w:snapToGrid/>
        <w:spacing w:before="157" w:beforeLines="50" w:line="500" w:lineRule="exact"/>
        <w:ind w:firstLine="482" w:firstLineChars="200"/>
        <w:textAlignment w:val="auto"/>
        <w:rPr>
          <w:rFonts w:hint="eastAsia" w:ascii="宋体" w:hAnsi="宋体" w:cs="仿宋"/>
          <w:color w:val="000000"/>
          <w:sz w:val="24"/>
          <w:szCs w:val="24"/>
        </w:rPr>
      </w:pPr>
      <w:r>
        <w:rPr>
          <w:rFonts w:hint="eastAsia" w:ascii="宋体" w:hAnsi="宋体" w:cs="仿宋"/>
          <w:b/>
          <w:bCs/>
          <w:color w:val="000000"/>
          <w:sz w:val="24"/>
          <w:szCs w:val="24"/>
        </w:rPr>
        <w:t>协议议价：</w:t>
      </w:r>
      <w:r>
        <w:rPr>
          <w:rFonts w:hint="eastAsia" w:ascii="宋体" w:hAnsi="宋体" w:cs="仿宋"/>
          <w:color w:val="000000"/>
          <w:sz w:val="24"/>
          <w:szCs w:val="24"/>
        </w:rPr>
        <w:t>协议议价是指在入围有效期内，采购单位在入围供应商范围内选择三家以上（含三家）通过网上报价比选，并最终由系统根据网上报价情况确定成交供应商的一种采购模式。</w:t>
      </w:r>
    </w:p>
    <w:p>
      <w:pPr>
        <w:keepNext w:val="0"/>
        <w:keepLines w:val="0"/>
        <w:pageBreakBefore w:val="0"/>
        <w:widowControl w:val="0"/>
        <w:kinsoku/>
        <w:wordWrap/>
        <w:overflowPunct/>
        <w:topLinePunct w:val="0"/>
        <w:autoSpaceDE/>
        <w:autoSpaceDN/>
        <w:bidi w:val="0"/>
        <w:adjustRightInd/>
        <w:snapToGrid/>
        <w:spacing w:before="157" w:beforeLines="50" w:line="500" w:lineRule="exact"/>
        <w:ind w:firstLine="482" w:firstLineChars="200"/>
        <w:textAlignment w:val="auto"/>
        <w:rPr>
          <w:rFonts w:hint="eastAsia" w:ascii="宋体" w:hAnsi="宋体" w:cs="仿宋"/>
          <w:color w:val="000000"/>
          <w:sz w:val="24"/>
          <w:szCs w:val="24"/>
        </w:rPr>
      </w:pPr>
      <w:r>
        <w:rPr>
          <w:rFonts w:hint="eastAsia" w:ascii="宋体" w:hAnsi="宋体" w:cs="仿宋"/>
          <w:b/>
          <w:bCs/>
          <w:color w:val="000000"/>
          <w:sz w:val="24"/>
          <w:szCs w:val="24"/>
        </w:rPr>
        <w:t>代理商：</w:t>
      </w:r>
      <w:r>
        <w:rPr>
          <w:rFonts w:hint="eastAsia" w:ascii="宋体" w:hAnsi="宋体" w:cs="仿宋"/>
          <w:color w:val="000000"/>
          <w:sz w:val="24"/>
          <w:szCs w:val="24"/>
        </w:rPr>
        <w:t>办公用品和汽车采用“代理商销售”形式，入围企业需要指定专门的代理商（销售公司）来负责产品销售。代理商由入围企业指定，产品的供货质量、售后服务等由入围企业负责。粮油设施设备类物资产品采用“厂商直销”形式，不需要指定代理商。</w:t>
      </w:r>
    </w:p>
    <w:p>
      <w:pPr>
        <w:keepNext w:val="0"/>
        <w:keepLines w:val="0"/>
        <w:pageBreakBefore w:val="0"/>
        <w:widowControl w:val="0"/>
        <w:kinsoku/>
        <w:wordWrap/>
        <w:overflowPunct/>
        <w:topLinePunct w:val="0"/>
        <w:autoSpaceDE/>
        <w:autoSpaceDN/>
        <w:bidi w:val="0"/>
        <w:adjustRightInd/>
        <w:snapToGrid/>
        <w:spacing w:before="157" w:beforeLines="50" w:line="500" w:lineRule="exact"/>
        <w:ind w:firstLine="482" w:firstLineChars="200"/>
        <w:textAlignment w:val="auto"/>
        <w:rPr>
          <w:rFonts w:hint="eastAsia" w:ascii="宋体" w:hAnsi="宋体" w:cs="仿宋"/>
          <w:color w:val="000000"/>
          <w:sz w:val="24"/>
          <w:szCs w:val="24"/>
        </w:rPr>
      </w:pPr>
      <w:r>
        <w:rPr>
          <w:rFonts w:hint="eastAsia" w:ascii="宋体" w:hAnsi="宋体" w:cs="仿宋"/>
          <w:b/>
          <w:bCs/>
          <w:color w:val="000000"/>
          <w:sz w:val="24"/>
          <w:szCs w:val="24"/>
        </w:rPr>
        <w:t>总协调人：</w:t>
      </w:r>
      <w:r>
        <w:rPr>
          <w:rFonts w:hint="eastAsia" w:ascii="宋体" w:hAnsi="宋体" w:cs="仿宋"/>
          <w:b w:val="0"/>
          <w:bCs w:val="0"/>
          <w:color w:val="000000"/>
          <w:sz w:val="24"/>
          <w:szCs w:val="24"/>
          <w:lang w:val="en-US" w:eastAsia="zh-CN"/>
        </w:rPr>
        <w:t>总协调人</w:t>
      </w:r>
      <w:r>
        <w:rPr>
          <w:rFonts w:hint="eastAsia" w:ascii="宋体" w:hAnsi="宋体" w:cs="仿宋"/>
          <w:color w:val="000000"/>
          <w:sz w:val="24"/>
          <w:szCs w:val="24"/>
        </w:rPr>
        <w:t>是指入围企业在中储粮集团公司范围内负责协调产品销售、运输配送、售后服务、纠纷处理等问题的最高级别联系人，办公用品和汽车类的入围企业必须指定唯一总协调人。</w:t>
      </w:r>
    </w:p>
    <w:p>
      <w:pPr>
        <w:keepNext w:val="0"/>
        <w:keepLines w:val="0"/>
        <w:pageBreakBefore w:val="0"/>
        <w:widowControl w:val="0"/>
        <w:kinsoku/>
        <w:wordWrap/>
        <w:overflowPunct/>
        <w:topLinePunct w:val="0"/>
        <w:autoSpaceDE/>
        <w:autoSpaceDN/>
        <w:bidi w:val="0"/>
        <w:adjustRightInd/>
        <w:snapToGrid/>
        <w:spacing w:before="157" w:beforeLines="50" w:line="500" w:lineRule="exact"/>
        <w:ind w:firstLine="482" w:firstLineChars="200"/>
        <w:textAlignment w:val="auto"/>
        <w:rPr>
          <w:rFonts w:hint="eastAsia" w:ascii="宋体" w:hAnsi="宋体" w:cs="仿宋"/>
          <w:color w:val="000000"/>
          <w:sz w:val="24"/>
          <w:szCs w:val="24"/>
        </w:rPr>
      </w:pPr>
      <w:r>
        <w:rPr>
          <w:rFonts w:hint="eastAsia" w:ascii="宋体" w:hAnsi="宋体" w:cs="仿宋"/>
          <w:b/>
          <w:bCs/>
          <w:color w:val="000000"/>
          <w:sz w:val="24"/>
          <w:szCs w:val="24"/>
        </w:rPr>
        <w:t>最高限价：</w:t>
      </w:r>
      <w:r>
        <w:rPr>
          <w:rFonts w:hint="eastAsia" w:ascii="宋体" w:hAnsi="宋体" w:cs="仿宋"/>
          <w:b w:val="0"/>
          <w:bCs w:val="0"/>
          <w:color w:val="000000"/>
          <w:sz w:val="24"/>
          <w:szCs w:val="24"/>
          <w:lang w:val="en-US" w:eastAsia="zh-CN"/>
        </w:rPr>
        <w:t>最高限价是指</w:t>
      </w:r>
      <w:r>
        <w:rPr>
          <w:rFonts w:hint="eastAsia" w:ascii="宋体" w:hAnsi="宋体" w:cs="仿宋"/>
          <w:color w:val="000000"/>
          <w:sz w:val="24"/>
          <w:szCs w:val="24"/>
        </w:rPr>
        <w:t>产品当时入围投标的报价，产品销售的价格不得超过最高限价。</w:t>
      </w:r>
    </w:p>
    <w:p>
      <w:pPr>
        <w:keepNext w:val="0"/>
        <w:keepLines w:val="0"/>
        <w:pageBreakBefore w:val="0"/>
        <w:widowControl w:val="0"/>
        <w:kinsoku/>
        <w:wordWrap/>
        <w:overflowPunct/>
        <w:topLinePunct w:val="0"/>
        <w:autoSpaceDE/>
        <w:autoSpaceDN/>
        <w:bidi w:val="0"/>
        <w:adjustRightInd/>
        <w:snapToGrid/>
        <w:spacing w:before="157" w:beforeLines="50" w:line="540" w:lineRule="exact"/>
        <w:ind w:firstLine="560" w:firstLineChars="200"/>
        <w:jc w:val="left"/>
        <w:textAlignment w:val="auto"/>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二、集中采购制度</w:t>
      </w:r>
    </w:p>
    <w:p>
      <w:pPr>
        <w:keepNext w:val="0"/>
        <w:keepLines w:val="0"/>
        <w:pageBreakBefore w:val="0"/>
        <w:widowControl w:val="0"/>
        <w:kinsoku/>
        <w:wordWrap/>
        <w:overflowPunct/>
        <w:topLinePunct w:val="0"/>
        <w:autoSpaceDE/>
        <w:autoSpaceDN/>
        <w:bidi w:val="0"/>
        <w:adjustRightInd/>
        <w:snapToGrid/>
        <w:spacing w:before="157" w:beforeLines="50" w:line="500" w:lineRule="exact"/>
        <w:ind w:firstLine="482" w:firstLineChars="200"/>
        <w:jc w:val="left"/>
        <w:textAlignment w:val="auto"/>
        <w:rPr>
          <w:rFonts w:hint="eastAsia" w:ascii="宋体" w:hAnsi="宋体" w:cs="仿宋"/>
          <w:color w:val="000000"/>
          <w:sz w:val="24"/>
          <w:szCs w:val="24"/>
        </w:rPr>
      </w:pPr>
      <w:r>
        <w:rPr>
          <w:rFonts w:hint="eastAsia" w:ascii="宋体" w:hAnsi="宋体" w:cs="仿宋"/>
          <w:b/>
          <w:bCs/>
          <w:color w:val="000000"/>
          <w:sz w:val="24"/>
          <w:szCs w:val="24"/>
        </w:rPr>
        <w:t>网上采购：</w:t>
      </w:r>
      <w:r>
        <w:rPr>
          <w:rFonts w:hint="eastAsia" w:ascii="宋体" w:hAnsi="宋体" w:cs="仿宋"/>
          <w:color w:val="000000"/>
          <w:sz w:val="24"/>
          <w:szCs w:val="24"/>
        </w:rPr>
        <w:t>中储粮服务网（网址：https://fwgs.sinograin.com.cn）是中储粮集团公司的电子化采购平台，采购单位依照中储粮集团公司规定通过网</w:t>
      </w:r>
      <w:r>
        <w:rPr>
          <w:rFonts w:hint="eastAsia" w:ascii="宋体" w:hAnsi="宋体" w:cs="仿宋"/>
          <w:color w:val="000000"/>
          <w:sz w:val="24"/>
          <w:szCs w:val="24"/>
          <w:lang w:val="en-US" w:eastAsia="zh-CN"/>
        </w:rPr>
        <w:t>上</w:t>
      </w:r>
      <w:r>
        <w:rPr>
          <w:rFonts w:hint="eastAsia" w:ascii="宋体" w:hAnsi="宋体" w:cs="仿宋"/>
          <w:color w:val="000000"/>
          <w:sz w:val="24"/>
          <w:szCs w:val="24"/>
        </w:rPr>
        <w:t>采购，供应商不得私自与采购单位进行网下交易。</w:t>
      </w:r>
    </w:p>
    <w:p>
      <w:pPr>
        <w:keepNext w:val="0"/>
        <w:keepLines w:val="0"/>
        <w:pageBreakBefore w:val="0"/>
        <w:widowControl w:val="0"/>
        <w:kinsoku/>
        <w:wordWrap/>
        <w:overflowPunct/>
        <w:topLinePunct w:val="0"/>
        <w:autoSpaceDE/>
        <w:autoSpaceDN/>
        <w:bidi w:val="0"/>
        <w:adjustRightInd/>
        <w:snapToGrid/>
        <w:spacing w:before="157" w:beforeLines="50" w:line="500" w:lineRule="exact"/>
        <w:ind w:firstLine="482" w:firstLineChars="200"/>
        <w:jc w:val="left"/>
        <w:textAlignment w:val="auto"/>
        <w:rPr>
          <w:rFonts w:hint="eastAsia" w:ascii="宋体" w:hAnsi="宋体" w:cs="仿宋"/>
          <w:color w:val="000000"/>
          <w:sz w:val="24"/>
          <w:szCs w:val="24"/>
        </w:rPr>
      </w:pPr>
      <w:r>
        <w:rPr>
          <w:rFonts w:hint="eastAsia" w:ascii="宋体" w:hAnsi="宋体" w:cs="仿宋"/>
          <w:b/>
          <w:bCs/>
          <w:color w:val="000000"/>
          <w:sz w:val="24"/>
          <w:szCs w:val="24"/>
        </w:rPr>
        <w:t>采购凭证：</w:t>
      </w:r>
      <w:r>
        <w:rPr>
          <w:rFonts w:hint="eastAsia" w:ascii="宋体" w:hAnsi="宋体" w:cs="仿宋"/>
          <w:color w:val="000000"/>
          <w:sz w:val="24"/>
          <w:szCs w:val="24"/>
        </w:rPr>
        <w:t>《中国储备粮管理集团有限公司集中采购电子凭证》是实施集中采购的有效凭证，是作为财务部门的付款凭证和资产管理的登记入账凭证以及审计检查的依据。网上采购流程结束后，采购单位和供应商均可打印《中国储备粮管理集团有限公司集中采购电子凭证》。</w:t>
      </w:r>
    </w:p>
    <w:p>
      <w:pPr>
        <w:keepNext w:val="0"/>
        <w:keepLines w:val="0"/>
        <w:pageBreakBefore w:val="0"/>
        <w:widowControl w:val="0"/>
        <w:kinsoku/>
        <w:wordWrap/>
        <w:overflowPunct/>
        <w:topLinePunct w:val="0"/>
        <w:autoSpaceDE/>
        <w:autoSpaceDN/>
        <w:bidi w:val="0"/>
        <w:adjustRightInd/>
        <w:snapToGrid/>
        <w:spacing w:before="157" w:beforeLines="50" w:line="540" w:lineRule="exact"/>
        <w:ind w:firstLine="560" w:firstLineChars="200"/>
        <w:jc w:val="left"/>
        <w:textAlignment w:val="auto"/>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lang w:val="en-US" w:eastAsia="zh-CN"/>
        </w:rPr>
        <w:t>三、网上操作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firstLine="482" w:firstLineChars="200"/>
        <w:textAlignment w:val="auto"/>
        <w:rPr>
          <w:rFonts w:hint="eastAsia" w:ascii="宋体" w:hAnsi="宋体" w:cs="仿宋"/>
          <w:b/>
          <w:bCs/>
          <w:color w:val="000000"/>
          <w:sz w:val="24"/>
          <w:szCs w:val="24"/>
        </w:rPr>
      </w:pPr>
      <w:r>
        <w:rPr>
          <w:rFonts w:hint="eastAsia" w:ascii="宋体" w:hAnsi="宋体" w:cs="仿宋"/>
          <w:b/>
          <w:bCs/>
          <w:color w:val="000000"/>
          <w:sz w:val="24"/>
          <w:szCs w:val="24"/>
        </w:rPr>
        <w:t>1、网上注册：</w:t>
      </w:r>
      <w:bookmarkStart w:id="0" w:name="_GoBack"/>
      <w:bookmarkEnd w:id="0"/>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打开中储粮服务网（以下简称“服务网”，网址：https://fwgs.sinograin.com.cn），点击右上角“免费注册”。</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194300" cy="1789430"/>
            <wp:effectExtent l="12700" t="12700" r="12700" b="266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32663" cy="1803183"/>
                    </a:xfrm>
                    <a:prstGeom prst="rect">
                      <a:avLst/>
                    </a:prstGeom>
                    <a:ln w="12700">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按照要求填写相关信息，如公司名称“已存在”，说明贵单位之前已经在服务网上注册过，请与本单位相关人员核实，或联系系统管理员调整。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用户名仅限字母或数字，不能填写中文，请填写真实的手机和邮件，便于日后接受服务网上的信息和通知。</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5093335"/>
            <wp:effectExtent l="9525" t="9525" r="12700" b="215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616575" cy="5093335"/>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请认真按营业执照上的内容填写企业信息。</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4182110"/>
            <wp:effectExtent l="12700" t="12700" r="952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6575" cy="418211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点击“上传附件”-“添加新文件”将营业执照和法人身份证（正反面）上传。</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661920"/>
            <wp:effectExtent l="12700" t="12700" r="952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6575" cy="266192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点击“维护开户银行”，在搜索框内输入银行关键字并以“空格”隔开每个关键字，例如：开户银行是[招商银行股份有限公司北京西直门支行]，可输入“招商 北京 西直门”。搜索结果最多显示20条，如未找到对应的银行，请再添加关键字继续搜索。</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077085"/>
            <wp:effectExtent l="9525" t="9525" r="12700" b="279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16575" cy="2077085"/>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在搜索结果中找到对应的开户银行名称，点击该银行名称，在弹框中输入开户银行账号。</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4067810"/>
            <wp:effectExtent l="9525" t="9525" r="1270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616575" cy="4067810"/>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保存后，系统会显示贵单位的开户银行，请仔细核对。</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249805"/>
            <wp:effectExtent l="9525" t="9525" r="12700" b="266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6575" cy="2249805"/>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仿宋"/>
          <w:color w:val="000000"/>
          <w:sz w:val="28"/>
          <w:szCs w:val="28"/>
        </w:rPr>
      </w:pPr>
      <w:r>
        <w:rPr>
          <w:rFonts w:hint="eastAsia" w:ascii="宋体" w:hAnsi="宋体" w:cs="仿宋"/>
          <w:color w:val="000000"/>
          <w:sz w:val="24"/>
          <w:szCs w:val="24"/>
        </w:rPr>
        <w:t>单位信息填写完整后，系统会提示“用户信息填写不完整，请在用户列表中点击[修改]，请在页面的最下方找到“用户列表”，并在操作列中，点击“修改”，填写联系人、联系方式。</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4121785"/>
            <wp:effectExtent l="9525" t="9525" r="12700" b="215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6575" cy="4121785"/>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用户信息填写完整后，点击“保存”。</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981325"/>
            <wp:effectExtent l="9525" t="9525" r="12700" b="190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6575" cy="2981325"/>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仿宋"/>
          <w:color w:val="000000"/>
          <w:sz w:val="24"/>
          <w:szCs w:val="24"/>
          <w:lang w:eastAsia="zh-CN"/>
        </w:rPr>
      </w:pPr>
      <w:r>
        <w:rPr>
          <w:rFonts w:hint="eastAsia" w:ascii="宋体" w:hAnsi="宋体" w:cs="仿宋"/>
          <w:color w:val="000000"/>
          <w:sz w:val="24"/>
          <w:szCs w:val="24"/>
        </w:rPr>
        <w:t>所有信息填写完整后，系统提示“账户信息已填写完整，请点击[提交]，提交并等待审核。”，此时可以点击“提交”，提交后单位信息不能修改，请在提交前仔细核对相关信息。单位提交成功后，单位状态由“暂存”变成“等待审核”</w:t>
      </w:r>
      <w:r>
        <w:rPr>
          <w:rFonts w:hint="eastAsia" w:ascii="宋体" w:hAnsi="宋体" w:cs="仿宋"/>
          <w:color w:val="000000"/>
          <w:sz w:val="24"/>
          <w:szCs w:val="24"/>
          <w:lang w:eastAsia="zh-CN"/>
        </w:rPr>
        <w:t>。</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3916045"/>
            <wp:effectExtent l="9525" t="9525" r="1270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6575" cy="3916045"/>
                    </a:xfrm>
                    <a:prstGeom prst="rect">
                      <a:avLst/>
                    </a:prstGeom>
                    <a:ln>
                      <a:solidFill>
                        <a:schemeClr val="bg1">
                          <a:lumMod val="50000"/>
                        </a:schemeClr>
                      </a:solidFill>
                    </a:ln>
                  </pic:spPr>
                </pic:pic>
              </a:graphicData>
            </a:graphic>
          </wp:inline>
        </w:drawing>
      </w:r>
    </w:p>
    <w:p>
      <w:pPr>
        <w:jc w:val="center"/>
        <w:rPr>
          <w:rFonts w:ascii="仿宋_GB2312" w:hAnsi="仿宋" w:eastAsia="仿宋_GB2312" w:cs="仿宋"/>
          <w:bCs/>
          <w:sz w:val="30"/>
          <w:szCs w:val="32"/>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firstLine="482" w:firstLineChars="200"/>
        <w:textAlignment w:val="auto"/>
        <w:rPr>
          <w:rFonts w:hint="eastAsia" w:ascii="宋体" w:hAnsi="宋体" w:cs="仿宋"/>
          <w:b/>
          <w:bCs/>
          <w:color w:val="000000"/>
          <w:sz w:val="24"/>
          <w:szCs w:val="24"/>
        </w:rPr>
      </w:pPr>
      <w:r>
        <w:rPr>
          <w:rFonts w:hint="eastAsia" w:ascii="宋体" w:hAnsi="宋体" w:cs="仿宋"/>
          <w:b/>
          <w:bCs/>
          <w:color w:val="000000"/>
          <w:sz w:val="24"/>
          <w:szCs w:val="24"/>
        </w:rPr>
        <w:t>2、产品维护：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登录中储粮服务网，点击右上角“[用户平台]”，在“目录内采购”-“入围产品管理”-“我的入围项目”中，录入产品。</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004060"/>
            <wp:effectExtent l="9525" t="9525" r="12700" b="247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6575" cy="2004060"/>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在我的入围项目中找到本期入围的项目，在操作列中点击“录入产品”。点击列表左上角的“新增”，在弹框中选择对应产品的品目录入产品。</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1580515"/>
            <wp:effectExtent l="9525" t="9525" r="1270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6575" cy="1580515"/>
                    </a:xfrm>
                    <a:prstGeom prst="rect">
                      <a:avLst/>
                    </a:prstGeom>
                    <a:ln>
                      <a:solidFill>
                        <a:schemeClr val="bg1">
                          <a:lumMod val="50000"/>
                        </a:schemeClr>
                      </a:solidFill>
                    </a:ln>
                  </pic:spPr>
                </pic:pic>
              </a:graphicData>
            </a:graphic>
          </wp:inline>
        </w:drawing>
      </w:r>
    </w:p>
    <w:p>
      <w:pPr>
        <w:jc w:val="center"/>
        <w:rPr>
          <w:rFonts w:ascii="仿宋_GB2312" w:hAnsi="仿宋" w:eastAsia="仿宋_GB2312" w:cs="仿宋"/>
          <w:bCs/>
          <w:sz w:val="30"/>
          <w:szCs w:val="32"/>
        </w:rPr>
      </w:pPr>
      <w:r>
        <w:rPr>
          <w:rFonts w:hint="eastAsia" w:ascii="仿宋_GB2312" w:hAnsi="仿宋" w:eastAsia="仿宋_GB2312" w:cs="仿宋"/>
          <w:bCs/>
          <w:sz w:val="30"/>
          <w:szCs w:val="32"/>
        </w:rPr>
        <w:drawing>
          <wp:inline distT="0" distB="0" distL="0" distR="0">
            <wp:extent cx="5616575" cy="1981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16575" cy="1981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上传产品图片时，默认上传的第一张图片作为产品显示页面的略缩图，上传图片时需注意图片顺序。</w:t>
      </w:r>
    </w:p>
    <w:p>
      <w:pPr>
        <w:jc w:val="center"/>
        <w:rPr>
          <w:rFonts w:ascii="仿宋_GB2312" w:hAnsi="仿宋" w:eastAsia="仿宋_GB2312" w:cs="仿宋"/>
          <w:bCs/>
          <w:sz w:val="30"/>
          <w:szCs w:val="32"/>
        </w:rPr>
      </w:pPr>
      <w:r>
        <w:rPr>
          <w:rFonts w:hint="eastAsia" w:ascii="仿宋_GB2312" w:hAnsi="仿宋" w:eastAsia="仿宋_GB2312" w:cs="仿宋"/>
          <w:bCs/>
          <w:sz w:val="30"/>
          <w:szCs w:val="32"/>
        </w:rPr>
        <w:drawing>
          <wp:inline distT="0" distB="0" distL="0" distR="0">
            <wp:extent cx="5616575" cy="4286250"/>
            <wp:effectExtent l="9525" t="9525" r="1270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6575" cy="4286250"/>
                    </a:xfrm>
                    <a:prstGeom prst="rect">
                      <a:avLst/>
                    </a:prstGeom>
                    <a:ln>
                      <a:solidFill>
                        <a:schemeClr val="bg1">
                          <a:lumMod val="50000"/>
                        </a:schemeClr>
                      </a:solidFill>
                    </a:ln>
                  </pic:spPr>
                </pic:pic>
              </a:graphicData>
            </a:graphic>
          </wp:inline>
        </w:drawing>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742565"/>
            <wp:effectExtent l="9525" t="9525" r="1270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6575" cy="2742565"/>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产品录入完成并核对信息无误后，点击操作列中的“提交”，产品状态由“暂存”变成“等待审核”，产品审核通过后，可在首页查看和采购。</w:t>
      </w:r>
    </w:p>
    <w:p>
      <w:pPr>
        <w:jc w:val="center"/>
        <w:rPr>
          <w:rFonts w:ascii="仿宋_GB2312" w:hAnsi="仿宋" w:eastAsia="仿宋_GB2312" w:cs="仿宋"/>
          <w:bCs/>
          <w:sz w:val="30"/>
          <w:szCs w:val="32"/>
        </w:rPr>
      </w:pPr>
      <w:r>
        <w:rPr>
          <w:rFonts w:hint="eastAsia" w:ascii="仿宋_GB2312" w:hAnsi="仿宋" w:eastAsia="仿宋_GB2312" w:cs="仿宋"/>
          <w:bCs/>
          <w:sz w:val="30"/>
          <w:szCs w:val="32"/>
        </w:rPr>
        <w:drawing>
          <wp:inline distT="0" distB="0" distL="0" distR="0">
            <wp:extent cx="5616575" cy="1508125"/>
            <wp:effectExtent l="9525" t="9525" r="12700" b="254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6575" cy="1508125"/>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firstLine="482" w:firstLineChars="200"/>
        <w:textAlignment w:val="auto"/>
        <w:rPr>
          <w:rFonts w:hint="eastAsia" w:ascii="宋体" w:hAnsi="宋体" w:cs="仿宋"/>
          <w:b/>
          <w:bCs/>
          <w:color w:val="000000"/>
          <w:sz w:val="24"/>
          <w:szCs w:val="24"/>
        </w:rPr>
      </w:pPr>
      <w:r>
        <w:rPr>
          <w:rFonts w:hint="eastAsia" w:ascii="宋体" w:hAnsi="宋体" w:cs="仿宋"/>
          <w:b/>
          <w:bCs/>
          <w:color w:val="000000"/>
          <w:sz w:val="24"/>
          <w:szCs w:val="24"/>
        </w:rPr>
        <w:t>3、总协调人信息：</w:t>
      </w:r>
    </w:p>
    <w:p>
      <w:pPr>
        <w:ind w:firstLine="482" w:firstLineChars="200"/>
        <w:rPr>
          <w:rFonts w:hint="eastAsia" w:ascii="宋体" w:hAnsi="宋体" w:eastAsia="宋体" w:cs="宋体"/>
          <w:b/>
          <w:color w:val="FF0000"/>
          <w:sz w:val="24"/>
          <w:szCs w:val="24"/>
        </w:rPr>
      </w:pPr>
      <w:r>
        <w:rPr>
          <w:rFonts w:hint="eastAsia" w:ascii="宋体" w:hAnsi="宋体" w:eastAsia="宋体" w:cs="宋体"/>
          <w:b/>
          <w:color w:val="FF0000"/>
          <w:sz w:val="24"/>
          <w:szCs w:val="24"/>
        </w:rPr>
        <w:t>厂商直销型（粮油设施设备类）的入围企业跳过此步骤。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登录中储粮服务网，点击右上角“[用户平台]”，在“目录内采购”-“入围产品管理”-“总协调人信息”中，点击列表左上角“新增”维护总协调人，系统默认取第一个总协调人。</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1567180"/>
            <wp:effectExtent l="9525" t="9525" r="12700" b="234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6575" cy="1567180"/>
                    </a:xfrm>
                    <a:prstGeom prst="rect">
                      <a:avLst/>
                    </a:prstGeom>
                    <a:ln>
                      <a:solidFill>
                        <a:schemeClr val="bg1">
                          <a:lumMod val="50000"/>
                        </a:schemeClr>
                      </a:solidFill>
                    </a:ln>
                  </pic:spPr>
                </pic:pic>
              </a:graphicData>
            </a:graphic>
          </wp:inline>
        </w:drawing>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275205"/>
            <wp:effectExtent l="9525" t="9525" r="12700" b="203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6575" cy="2275205"/>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firstLine="482" w:firstLineChars="200"/>
        <w:textAlignment w:val="auto"/>
        <w:rPr>
          <w:rFonts w:hint="eastAsia" w:ascii="宋体" w:hAnsi="宋体" w:cs="仿宋"/>
          <w:b/>
          <w:bCs/>
          <w:color w:val="000000"/>
          <w:sz w:val="24"/>
          <w:szCs w:val="24"/>
        </w:rPr>
      </w:pPr>
      <w:r>
        <w:rPr>
          <w:rFonts w:hint="eastAsia" w:ascii="宋体" w:hAnsi="宋体" w:cs="仿宋"/>
          <w:b/>
          <w:bCs/>
          <w:color w:val="000000"/>
          <w:sz w:val="24"/>
          <w:szCs w:val="24"/>
        </w:rPr>
        <w:t>4、代理商维护：</w:t>
      </w:r>
    </w:p>
    <w:p>
      <w:pPr>
        <w:ind w:firstLine="482" w:firstLineChars="200"/>
        <w:rPr>
          <w:rFonts w:hint="eastAsia" w:ascii="宋体" w:hAnsi="宋体" w:eastAsia="宋体" w:cs="宋体"/>
          <w:b/>
          <w:color w:val="FF0000"/>
          <w:sz w:val="24"/>
          <w:szCs w:val="24"/>
        </w:rPr>
      </w:pPr>
      <w:r>
        <w:rPr>
          <w:rFonts w:hint="eastAsia" w:ascii="宋体" w:hAnsi="宋体" w:eastAsia="宋体" w:cs="宋体"/>
          <w:b/>
          <w:color w:val="FF0000"/>
          <w:sz w:val="24"/>
          <w:szCs w:val="24"/>
        </w:rPr>
        <w:t>厂商直销型（粮油设施设备类）的入围企业跳过此步骤。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登录中储粮服务网，点击右上角“[用户平台]”，在“目录内采购”-“入围产品管理”-“我的代理商”中，点击列表左上角“新增”维护代理商信息。代理商需要先在中储粮服务网上注册成功并审核通过后，才能添加其为代理商。</w:t>
      </w:r>
    </w:p>
    <w:p>
      <w:pPr>
        <w:jc w:val="center"/>
        <w:rPr>
          <w:rFonts w:ascii="仿宋_GB2312" w:hAnsi="仿宋" w:eastAsia="仿宋_GB2312" w:cs="仿宋"/>
          <w:bCs/>
          <w:sz w:val="30"/>
          <w:szCs w:val="32"/>
        </w:rPr>
      </w:pPr>
      <w:r>
        <w:rPr>
          <w:rFonts w:hint="eastAsia" w:ascii="仿宋_GB2312" w:hAnsi="仿宋" w:eastAsia="仿宋_GB2312" w:cs="仿宋"/>
          <w:bCs/>
          <w:sz w:val="30"/>
          <w:szCs w:val="32"/>
        </w:rPr>
        <w:drawing>
          <wp:inline distT="0" distB="0" distL="0" distR="0">
            <wp:extent cx="5616575" cy="1548765"/>
            <wp:effectExtent l="9525" t="9525" r="12700" b="228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6575" cy="1548765"/>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代理商名称需要在注册成功的单位中搜索，点击“代理商名称”，在搜索框中输入关键字，搜索结果最多显示20条，找到代理商名称后，点击代理商名称，弹框自动关闭。</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1276350"/>
            <wp:effectExtent l="9525" t="9525" r="1270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6575" cy="1276350"/>
                    </a:xfrm>
                    <a:prstGeom prst="rect">
                      <a:avLst/>
                    </a:prstGeom>
                    <a:ln>
                      <a:solidFill>
                        <a:schemeClr val="bg1">
                          <a:lumMod val="50000"/>
                        </a:schemeClr>
                      </a:solidFill>
                    </a:ln>
                  </pic:spPr>
                </pic:pic>
              </a:graphicData>
            </a:graphic>
          </wp:inline>
        </w:drawing>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446020"/>
            <wp:effectExtent l="9525" t="9525" r="12700" b="209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16575" cy="2446020"/>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代理商信息录入完成后，点击“保存”。</w:t>
      </w:r>
    </w:p>
    <w:p>
      <w:pPr>
        <w:jc w:val="center"/>
        <w:rPr>
          <w:rFonts w:ascii="仿宋_GB2312" w:hAnsi="仿宋" w:eastAsia="仿宋_GB2312" w:cs="仿宋"/>
          <w:bCs/>
          <w:sz w:val="30"/>
          <w:szCs w:val="32"/>
        </w:rPr>
      </w:pPr>
      <w:r>
        <w:rPr>
          <w:rFonts w:hint="eastAsia" w:ascii="仿宋_GB2312" w:hAnsi="仿宋" w:eastAsia="仿宋_GB2312" w:cs="仿宋"/>
          <w:bCs/>
          <w:sz w:val="30"/>
          <w:szCs w:val="32"/>
        </w:rPr>
        <w:drawing>
          <wp:inline distT="0" distB="0" distL="0" distR="0">
            <wp:extent cx="5616575" cy="1276350"/>
            <wp:effectExtent l="9525" t="9525" r="1270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6575" cy="1276350"/>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firstLine="482" w:firstLineChars="200"/>
        <w:textAlignment w:val="auto"/>
        <w:rPr>
          <w:rFonts w:hint="eastAsia" w:ascii="宋体" w:hAnsi="宋体" w:cs="仿宋"/>
          <w:b/>
          <w:bCs/>
          <w:color w:val="000000"/>
          <w:sz w:val="24"/>
          <w:szCs w:val="24"/>
        </w:rPr>
      </w:pPr>
      <w:r>
        <w:rPr>
          <w:rFonts w:hint="eastAsia" w:ascii="宋体" w:hAnsi="宋体" w:cs="仿宋"/>
          <w:b/>
          <w:bCs/>
          <w:color w:val="000000"/>
          <w:sz w:val="24"/>
          <w:szCs w:val="24"/>
        </w:rPr>
        <w:t>5、订单确认：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采购下单协议供货项目后，需要供应商确认。登录后在“[用户平台]”中的”待办事项”中会显示需要确认的订单。</w:t>
      </w:r>
    </w:p>
    <w:p>
      <w:pPr>
        <w:jc w:val="center"/>
        <w:rPr>
          <w:rFonts w:ascii="仿宋_GB2312" w:hAnsi="仿宋" w:eastAsia="仿宋_GB2312" w:cs="仿宋"/>
          <w:bCs/>
          <w:sz w:val="30"/>
          <w:szCs w:val="32"/>
        </w:rPr>
      </w:pPr>
      <w:r>
        <w:rPr>
          <w:rFonts w:hint="eastAsia" w:ascii="仿宋_GB2312" w:hAnsi="仿宋" w:eastAsia="仿宋_GB2312" w:cs="仿宋"/>
          <w:bCs/>
          <w:sz w:val="30"/>
          <w:szCs w:val="32"/>
        </w:rPr>
        <w:drawing>
          <wp:inline distT="0" distB="0" distL="0" distR="0">
            <wp:extent cx="5616575" cy="1607820"/>
            <wp:effectExtent l="9525" t="9525" r="12700" b="209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6575" cy="1607820"/>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登录中储粮服务网，点击右上角“[用户平台]”，在“目录内采购”-“我的销售的订单”中找到需要确认的订单，点击操作列中的“卖方确认”。</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1938020"/>
            <wp:effectExtent l="9525" t="9525" r="1270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5616575" cy="1938020"/>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确认前可以修改成交单价，但不能高于该产品的入围单价（即最高限价），如修改价格后，需再次由采购单位确认。卖方确认页面点击“通过”，该订单进入下一环节，如点击“不通过”退回采购单位。</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321560"/>
            <wp:effectExtent l="9525" t="9525" r="12700"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616575" cy="2321560"/>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firstLine="482" w:firstLineChars="200"/>
        <w:textAlignment w:val="auto"/>
        <w:rPr>
          <w:rFonts w:hint="eastAsia" w:ascii="宋体" w:hAnsi="宋体" w:cs="仿宋"/>
          <w:b/>
          <w:bCs/>
          <w:color w:val="000000"/>
          <w:sz w:val="24"/>
          <w:szCs w:val="24"/>
        </w:rPr>
      </w:pPr>
      <w:r>
        <w:rPr>
          <w:rFonts w:hint="eastAsia" w:ascii="宋体" w:hAnsi="宋体" w:cs="仿宋"/>
          <w:b/>
          <w:bCs/>
          <w:color w:val="000000"/>
          <w:sz w:val="24"/>
          <w:szCs w:val="24"/>
        </w:rPr>
        <w:t>6、合同及凭证打印：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登录中储粮服务网，点击右上角“[用户平台]”，在“目录内采购”-“我的销售的订单”中找到有效状态的订单，点击操作列中的“打印”。</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009140"/>
            <wp:effectExtent l="9525" t="9525" r="12700" b="196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tretch>
                      <a:fillRect/>
                    </a:stretch>
                  </pic:blipFill>
                  <pic:spPr>
                    <a:xfrm>
                      <a:off x="0" y="0"/>
                      <a:ext cx="5616575" cy="2009140"/>
                    </a:xfrm>
                    <a:prstGeom prst="rect">
                      <a:avLst/>
                    </a:prstGeom>
                    <a:ln>
                      <a:solidFill>
                        <a:schemeClr val="bg1">
                          <a:lumMod val="50000"/>
                        </a:schemeClr>
                      </a:solidFill>
                    </a:ln>
                  </pic:spPr>
                </pic:pic>
              </a:graphicData>
            </a:graphic>
          </wp:inline>
        </w:drawing>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3044190"/>
            <wp:effectExtent l="9525" t="9525" r="12700" b="133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5616575" cy="3044190"/>
                    </a:xfrm>
                    <a:prstGeom prst="rect">
                      <a:avLst/>
                    </a:prstGeom>
                    <a:ln>
                      <a:solidFill>
                        <a:schemeClr val="bg1">
                          <a:lumMod val="50000"/>
                        </a:schemeClr>
                      </a:solidFill>
                    </a:ln>
                  </pic:spPr>
                </pic:pic>
              </a:graphicData>
            </a:graphic>
          </wp:inline>
        </w:drawing>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3126740"/>
            <wp:effectExtent l="9525" t="9525" r="12700" b="260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stretch>
                      <a:fillRect/>
                    </a:stretch>
                  </pic:blipFill>
                  <pic:spPr>
                    <a:xfrm>
                      <a:off x="0" y="0"/>
                      <a:ext cx="5616575" cy="3126740"/>
                    </a:xfrm>
                    <a:prstGeom prst="rect">
                      <a:avLst/>
                    </a:prstGeom>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仿宋"/>
          <w:color w:val="000000"/>
          <w:sz w:val="24"/>
          <w:szCs w:val="24"/>
        </w:rPr>
      </w:pPr>
      <w:r>
        <w:rPr>
          <w:rFonts w:hint="eastAsia" w:ascii="宋体" w:hAnsi="宋体" w:cs="仿宋"/>
          <w:color w:val="000000"/>
          <w:sz w:val="24"/>
          <w:szCs w:val="24"/>
        </w:rPr>
        <w:t>打印电子凭证前需填写发票号，登录中储粮服务网，点击右上角“[用户平台]”，在“目录内采购”-“我的销售的订单”中找到订单，点击操作列中的“填写发票号”。按照采购单位的发票抬头，开具发票，并填写发票号。</w:t>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009140"/>
            <wp:effectExtent l="9525" t="9525" r="12700" b="196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a:stretch>
                      <a:fillRect/>
                    </a:stretch>
                  </pic:blipFill>
                  <pic:spPr>
                    <a:xfrm>
                      <a:off x="0" y="0"/>
                      <a:ext cx="5616575" cy="2009140"/>
                    </a:xfrm>
                    <a:prstGeom prst="rect">
                      <a:avLst/>
                    </a:prstGeom>
                    <a:ln>
                      <a:solidFill>
                        <a:schemeClr val="bg1">
                          <a:lumMod val="50000"/>
                        </a:schemeClr>
                      </a:solidFill>
                    </a:ln>
                  </pic:spPr>
                </pic:pic>
              </a:graphicData>
            </a:graphic>
          </wp:inline>
        </w:drawing>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3244850" cy="3179445"/>
            <wp:effectExtent l="9525" t="9525" r="22225"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tretch>
                      <a:fillRect/>
                    </a:stretch>
                  </pic:blipFill>
                  <pic:spPr>
                    <a:xfrm>
                      <a:off x="0" y="0"/>
                      <a:ext cx="3244850" cy="3179445"/>
                    </a:xfrm>
                    <a:prstGeom prst="rect">
                      <a:avLst/>
                    </a:prstGeom>
                    <a:ln>
                      <a:solidFill>
                        <a:schemeClr val="bg1">
                          <a:lumMod val="50000"/>
                        </a:schemeClr>
                      </a:solidFill>
                    </a:ln>
                  </pic:spPr>
                </pic:pic>
              </a:graphicData>
            </a:graphic>
          </wp:inline>
        </w:drawing>
      </w:r>
    </w:p>
    <w:p>
      <w:pPr>
        <w:jc w:val="center"/>
        <w:rPr>
          <w:rFonts w:ascii="仿宋_GB2312" w:hAnsi="仿宋" w:eastAsia="仿宋_GB2312" w:cs="仿宋"/>
          <w:bCs/>
          <w:sz w:val="30"/>
          <w:szCs w:val="32"/>
        </w:rPr>
      </w:pPr>
      <w:r>
        <w:rPr>
          <w:rFonts w:ascii="仿宋_GB2312" w:hAnsi="仿宋" w:eastAsia="仿宋_GB2312" w:cs="仿宋"/>
          <w:bCs/>
          <w:sz w:val="30"/>
          <w:szCs w:val="32"/>
        </w:rPr>
        <w:drawing>
          <wp:inline distT="0" distB="0" distL="0" distR="0">
            <wp:extent cx="5616575" cy="2689860"/>
            <wp:effectExtent l="9525" t="9525" r="12700" b="247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a:stretch>
                      <a:fillRect/>
                    </a:stretch>
                  </pic:blipFill>
                  <pic:spPr>
                    <a:xfrm>
                      <a:off x="0" y="0"/>
                      <a:ext cx="5616575" cy="2689860"/>
                    </a:xfrm>
                    <a:prstGeom prst="rect">
                      <a:avLst/>
                    </a:prstGeom>
                    <a:ln>
                      <a:solidFill>
                        <a:schemeClr val="bg1">
                          <a:lumMod val="50000"/>
                        </a:schemeClr>
                      </a:solidFill>
                    </a:ln>
                  </pic:spPr>
                </pic:pic>
              </a:graphicData>
            </a:graphic>
          </wp:inline>
        </w:drawing>
      </w:r>
    </w:p>
    <w:sectPr>
      <w:pgSz w:w="11907" w:h="16840"/>
      <w:pgMar w:top="1400" w:right="1531" w:bottom="85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887"/>
    <w:rsid w:val="000142A7"/>
    <w:rsid w:val="000571E3"/>
    <w:rsid w:val="000D0BA9"/>
    <w:rsid w:val="000E6470"/>
    <w:rsid w:val="00203B5A"/>
    <w:rsid w:val="00223524"/>
    <w:rsid w:val="00364297"/>
    <w:rsid w:val="00367613"/>
    <w:rsid w:val="004355FE"/>
    <w:rsid w:val="00461558"/>
    <w:rsid w:val="004C7483"/>
    <w:rsid w:val="004D4FE0"/>
    <w:rsid w:val="005D2887"/>
    <w:rsid w:val="006941EC"/>
    <w:rsid w:val="00710C8D"/>
    <w:rsid w:val="008377FB"/>
    <w:rsid w:val="00892D7A"/>
    <w:rsid w:val="00895B34"/>
    <w:rsid w:val="009171D1"/>
    <w:rsid w:val="009853C1"/>
    <w:rsid w:val="009D3571"/>
    <w:rsid w:val="00AB5C64"/>
    <w:rsid w:val="00BF0AAC"/>
    <w:rsid w:val="00CD7874"/>
    <w:rsid w:val="00D0212F"/>
    <w:rsid w:val="00D460B2"/>
    <w:rsid w:val="00D70E8D"/>
    <w:rsid w:val="00D977DA"/>
    <w:rsid w:val="00E11015"/>
    <w:rsid w:val="00E45F9E"/>
    <w:rsid w:val="00F7239A"/>
    <w:rsid w:val="00FB0B2A"/>
    <w:rsid w:val="074245B9"/>
    <w:rsid w:val="0AC45E59"/>
    <w:rsid w:val="11CD7779"/>
    <w:rsid w:val="162110DD"/>
    <w:rsid w:val="172E4B67"/>
    <w:rsid w:val="1D9E6389"/>
    <w:rsid w:val="1E3C0686"/>
    <w:rsid w:val="217A706B"/>
    <w:rsid w:val="2BA5318C"/>
    <w:rsid w:val="343C5FF5"/>
    <w:rsid w:val="3E600C50"/>
    <w:rsid w:val="4799502A"/>
    <w:rsid w:val="4D35602C"/>
    <w:rsid w:val="4DA23969"/>
    <w:rsid w:val="50864E61"/>
    <w:rsid w:val="56EA7D7B"/>
    <w:rsid w:val="600700BF"/>
    <w:rsid w:val="651F1087"/>
    <w:rsid w:val="6BE76905"/>
    <w:rsid w:val="6C0B36AB"/>
    <w:rsid w:val="7643242F"/>
    <w:rsid w:val="78F418E2"/>
    <w:rsid w:val="7E484E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FAB914-4D5F-5F41-823C-B24E00738FF6}">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363</Words>
  <Characters>2071</Characters>
  <Lines>17</Lines>
  <Paragraphs>4</Paragraphs>
  <TotalTime>2</TotalTime>
  <ScaleCrop>false</ScaleCrop>
  <LinksUpToDate>false</LinksUpToDate>
  <CharactersWithSpaces>2430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2019-12-16T10:33:38Z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